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B830E" w14:textId="4D97D6D5" w:rsidR="00FD1D26" w:rsidRPr="006D0E05" w:rsidRDefault="00FD1D26" w:rsidP="00FD1D26">
      <w:pPr>
        <w:jc w:val="right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Załącznik nr </w:t>
      </w:r>
      <w:r w:rsidR="006D0E05" w:rsidRPr="006D0E05">
        <w:rPr>
          <w:rFonts w:ascii="Century Gothic" w:hAnsi="Century Gothic"/>
          <w:sz w:val="20"/>
          <w:szCs w:val="20"/>
        </w:rPr>
        <w:t xml:space="preserve">9 </w:t>
      </w:r>
      <w:r w:rsidRPr="006D0E05">
        <w:rPr>
          <w:rFonts w:ascii="Century Gothic" w:hAnsi="Century Gothic"/>
          <w:sz w:val="20"/>
          <w:szCs w:val="20"/>
        </w:rPr>
        <w:t xml:space="preserve">do Umowy </w:t>
      </w:r>
    </w:p>
    <w:p w14:paraId="332F9551" w14:textId="77777777" w:rsidR="00FD1D26" w:rsidRPr="006D0E05" w:rsidRDefault="00FD1D26" w:rsidP="00FD1D26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6D0E05">
        <w:rPr>
          <w:rFonts w:ascii="Century Gothic" w:hAnsi="Century Gothic"/>
          <w:b/>
          <w:bCs/>
          <w:sz w:val="20"/>
          <w:szCs w:val="20"/>
        </w:rPr>
        <w:t>Przesłanki wykluczenia podwykonawców</w:t>
      </w:r>
    </w:p>
    <w:p w14:paraId="43800730" w14:textId="77777777" w:rsidR="00FD1D26" w:rsidRPr="006D0E05" w:rsidRDefault="00FD1D26" w:rsidP="00FD1D26">
      <w:pPr>
        <w:jc w:val="both"/>
        <w:rPr>
          <w:rFonts w:ascii="Century Gothic" w:hAnsi="Century Gothic"/>
          <w:sz w:val="20"/>
          <w:szCs w:val="20"/>
        </w:rPr>
      </w:pPr>
    </w:p>
    <w:p w14:paraId="21A09036" w14:textId="77777777" w:rsidR="00FD1D26" w:rsidRPr="006D0E05" w:rsidRDefault="00FD1D26" w:rsidP="00FD1D26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Przez „Dostawcę” należy rozumieć odpowiednio „Podwykonawcę”.</w:t>
      </w:r>
    </w:p>
    <w:p w14:paraId="27C91DF1" w14:textId="77777777" w:rsidR="00FD1D26" w:rsidRPr="006D0E05" w:rsidRDefault="00FD1D26" w:rsidP="00FD1D26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98E7479" w14:textId="77777777" w:rsidR="00FD1D26" w:rsidRPr="006D0E05" w:rsidRDefault="00FD1D26" w:rsidP="00FD1D26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Z Postępowania o udzielenie Zamówienia Niepublicznego Zamawiający wyklucza:</w:t>
      </w:r>
    </w:p>
    <w:p w14:paraId="19174291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Dostawcę, w stosunku do którego otwarto likwidację, 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 </w:t>
      </w:r>
    </w:p>
    <w:p w14:paraId="2C616AC7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który naruszył obowiązki dotyczące płatności podatków, opłat lub składek na ubezpieczenie społeczne lub zdrowotne, chyba że Dostawca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należności,</w:t>
      </w:r>
    </w:p>
    <w:p w14:paraId="304A0D51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 będącego osobą fizyczną, którą prawomocnie skazano za przestępstwo:</w:t>
      </w:r>
    </w:p>
    <w:p w14:paraId="23ED98AC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6D06B375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 handlu ludźmi, o którym mowa w art. 189a Kodeksu karnego, </w:t>
      </w:r>
    </w:p>
    <w:p w14:paraId="351F7974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 o którym mowa w art. 228-230a, art. 250a Kodeksu karnego lub w art. 46 lub art. 48 ustawy z dnia 25 czerwca 2010 r. o sporcie, </w:t>
      </w:r>
    </w:p>
    <w:p w14:paraId="13832AFD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A14E934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 o charakterze terrorystycznym, o którym mowa w art. 115 § 20 Kodeksu karnego, lub mające na celu popełnienie tego przestępstwa, </w:t>
      </w:r>
    </w:p>
    <w:p w14:paraId="7F4339B1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(Dz.U. poz. 769), </w:t>
      </w:r>
    </w:p>
    <w:p w14:paraId="51093848" w14:textId="77777777" w:rsidR="00FD1D26" w:rsidRPr="006D0E05" w:rsidRDefault="00FD1D26" w:rsidP="00FD1D26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 przeciwko obrotowi gospodarczemu, o których mowa w art. 296-307 Kodeksu karnego, przestępstwo oszustwa, o którym mowa w art. 286 Kodeksu </w:t>
      </w:r>
      <w:r w:rsidRPr="006D0E05">
        <w:rPr>
          <w:rFonts w:ascii="Century Gothic" w:hAnsi="Century Gothic"/>
          <w:sz w:val="20"/>
          <w:szCs w:val="20"/>
        </w:rPr>
        <w:lastRenderedPageBreak/>
        <w:t xml:space="preserve">karnego, przestępstwo przeciwko wiarygodności dokumentów, o których mowa w art. 270-277d Kodeksu karnego, lub przestępstwo skarbowe, </w:t>
      </w:r>
    </w:p>
    <w:p w14:paraId="69C0FB18" w14:textId="77777777" w:rsidR="00FD1D26" w:rsidRPr="006D0E05" w:rsidRDefault="00FD1D26" w:rsidP="002B6429">
      <w:pPr>
        <w:pStyle w:val="Akapitzlist"/>
        <w:autoSpaceDE w:val="0"/>
        <w:autoSpaceDN w:val="0"/>
        <w:adjustRightInd w:val="0"/>
        <w:spacing w:after="0" w:line="360" w:lineRule="auto"/>
        <w:ind w:left="1419" w:firstLine="282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 xml:space="preserve">- lub za odpowiedni czyn zabroniony określony w przepisach prawa obcego; </w:t>
      </w:r>
    </w:p>
    <w:p w14:paraId="2B6DB8DD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1.3,</w:t>
      </w:r>
    </w:p>
    <w:p w14:paraId="2B59B467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wobec którego prawomocnie orzeczono zakaz ubiegania się o zamówienia publiczne,</w:t>
      </w:r>
      <w:r w:rsidRPr="006D0E05">
        <w:rPr>
          <w:rFonts w:ascii="Century Gothic" w:hAnsi="Century Gothic" w:cs="Times New Roman"/>
          <w:sz w:val="20"/>
          <w:szCs w:val="20"/>
        </w:rPr>
        <w:t xml:space="preserve"> </w:t>
      </w:r>
    </w:p>
    <w:p w14:paraId="2B6A9D26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jeżeli doszło do zakłócenia konkurencji wynikającego z wcześniejszego zaangażowania tego Dostawcy lub podmiotu, który należy z Dostawcą do tej samej grupy kapitałowej, w przygotowanie Postępowania, chyba że spowodowane tym zakłócenie konkurencji może być wyeliminowane w inny sposób niż przez wykluczenie Dostawcy z udziału w Postępowaniu. Przed wykluczeniem Dostawcy Zamawiający zapewnia temu Dostawcy możliwość udowodnienia, że jego zaangażowanie w przygotowanie Postępowania o udzielenie zamówienia nie zakłóci konkurencji</w:t>
      </w:r>
      <w:r w:rsidRPr="006D0E05">
        <w:rPr>
          <w:rFonts w:ascii="Century Gothic" w:hAnsi="Century Gothic" w:cs="Times New Roman"/>
          <w:sz w:val="20"/>
          <w:szCs w:val="20"/>
        </w:rPr>
        <w:t>;</w:t>
      </w:r>
    </w:p>
    <w:p w14:paraId="2BBA5523" w14:textId="77777777" w:rsidR="002B6429" w:rsidRPr="002B6429" w:rsidRDefault="00FD1D26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Postępowaniu, lub który zataił te informacje lub nie jest w stanie przedstawić wymaganych dokumentów</w:t>
      </w:r>
      <w:r w:rsidRPr="006D0E05">
        <w:rPr>
          <w:rFonts w:ascii="Century Gothic" w:hAnsi="Century Gothic" w:cs="Times New Roman"/>
          <w:sz w:val="20"/>
          <w:szCs w:val="20"/>
        </w:rPr>
        <w:t>;</w:t>
      </w:r>
    </w:p>
    <w:p w14:paraId="26ECD24C" w14:textId="47EB5F78" w:rsidR="00FD1D26" w:rsidRPr="002B6429" w:rsidRDefault="00FD1D26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B6429">
        <w:rPr>
          <w:rFonts w:ascii="Century Gothic" w:hAnsi="Century Gothic"/>
          <w:sz w:val="20"/>
          <w:szCs w:val="20"/>
        </w:rPr>
        <w:t>Dostawcę, który bezprawnie wpływał lub próbował wpłynąć na czynności zamawiającego lub próbował pozyskać lub pozyskał informacje poufne, mogące dać mu przewagę w Postępowaniu o udzielenie Zamówienia Niepublicznego,</w:t>
      </w:r>
      <w:r w:rsidRPr="002B6429">
        <w:rPr>
          <w:rFonts w:ascii="Century Gothic" w:hAnsi="Century Gothic" w:cs="Times New Roman"/>
          <w:sz w:val="20"/>
          <w:szCs w:val="20"/>
        </w:rPr>
        <w:t xml:space="preserve"> </w:t>
      </w:r>
    </w:p>
    <w:p w14:paraId="664C6F3F" w14:textId="77777777" w:rsidR="00FD1D26" w:rsidRPr="006D0E05" w:rsidRDefault="00FD1D26" w:rsidP="00FD1D26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Dostawcę, jeżeli Zamawiający może stwierdzić, na podstawie wiarygodnych przesłanek, że Dostawca zawarł z innymi Dostawcami porozumienie mające na celu zakłócenie konkurencji między Dostawcami w Postępowaniu o udzielenie Zamówienia Niepublicznego,</w:t>
      </w:r>
    </w:p>
    <w:p w14:paraId="38C39265" w14:textId="77777777" w:rsidR="002B6429" w:rsidRDefault="00FD1D26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Dostawcę wpisanego na Listę Nierzetelnych Dostawców,</w:t>
      </w:r>
    </w:p>
    <w:p w14:paraId="4AA79DBC" w14:textId="77777777" w:rsidR="002B6429" w:rsidRDefault="002B6429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B6429">
        <w:rPr>
          <w:rFonts w:ascii="Century Gothic" w:hAnsi="Century Gothic"/>
          <w:sz w:val="20"/>
          <w:szCs w:val="20"/>
        </w:rPr>
        <w:t xml:space="preserve">Wykonawcę, który po upływie terminu składania ofert modyfikuje ofertę na niekorzyść Zamawiającego, </w:t>
      </w:r>
    </w:p>
    <w:p w14:paraId="483153C6" w14:textId="77777777" w:rsidR="002B6429" w:rsidRDefault="002B6429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B6429">
        <w:rPr>
          <w:rFonts w:ascii="Century Gothic" w:hAnsi="Century Gothic"/>
          <w:sz w:val="20"/>
          <w:szCs w:val="20"/>
        </w:rPr>
        <w:t>Wykonawcę, jeżeli występuje konflikt interesów, którego nie można skutecznie wyeliminować w inny sposób niż przez wykluczenie Wykonawcy,</w:t>
      </w:r>
    </w:p>
    <w:p w14:paraId="28798B21" w14:textId="756F4184" w:rsidR="002B6429" w:rsidRPr="002B6429" w:rsidRDefault="002B6429" w:rsidP="002B6429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B6429">
        <w:rPr>
          <w:rFonts w:ascii="Century Gothic" w:hAnsi="Century Gothic"/>
          <w:sz w:val="20"/>
          <w:szCs w:val="20"/>
        </w:rPr>
        <w:t xml:space="preserve">Wykonawcę, jeżeli zachodzi podstawa wykluczenia, o której stanowi </w:t>
      </w:r>
      <w:r w:rsidRPr="002B6429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art. 7 ust. 1 ustawy z dnia 13 kwietnia 2022 r. o szczególnych rozwiązaniach w zakresie </w:t>
      </w:r>
      <w:r w:rsidRPr="002B6429">
        <w:rPr>
          <w:rFonts w:ascii="Century Gothic" w:eastAsia="Century Gothic" w:hAnsi="Century Gothic" w:cs="Century Gothic"/>
          <w:color w:val="000000"/>
          <w:sz w:val="20"/>
          <w:szCs w:val="20"/>
        </w:rPr>
        <w:lastRenderedPageBreak/>
        <w:t>przeciwdziałania wspieraniu agresji na Ukrainę oraz służących ochronie bezpieczeństwa narodowego (t. jedn. Dz.U. 2023 poz. 129 ze zm.),</w:t>
      </w:r>
    </w:p>
    <w:p w14:paraId="1537BEB5" w14:textId="580246D9" w:rsidR="00FD1D26" w:rsidRPr="006D0E05" w:rsidRDefault="00FD1D26" w:rsidP="00FD1D26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6D0E05">
        <w:rPr>
          <w:rFonts w:ascii="Century Gothic" w:hAnsi="Century Gothic"/>
          <w:sz w:val="20"/>
          <w:szCs w:val="20"/>
        </w:rPr>
        <w:t>W sytuacji stwierdzenia zaistnienia okoliczności stanowiących podstawy wykluczenia Dostawcy z Postępowania, można nie wykluczać Dostawcy, jeżeli wykluczenie byłoby w sposób oczywisty nieproporcjonalne do wagi stwierdzonego deliktu, w szczególności, gdy pomimo zaistnienia okoliczności, o których mowa w ust. 1 pkt 1.2 rzetelność Dostawcy nie budzi wątpliwości ani nie stwarza ryzyka naruszenia interesu Zamawiającego podczas realizacji Zamówienia.</w:t>
      </w:r>
    </w:p>
    <w:sectPr w:rsidR="00FD1D26" w:rsidRPr="006D0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6D96" w14:textId="77777777" w:rsidR="009A47F0" w:rsidRDefault="009A47F0" w:rsidP="000F27A8">
      <w:pPr>
        <w:spacing w:after="0" w:line="240" w:lineRule="auto"/>
      </w:pPr>
      <w:r>
        <w:separator/>
      </w:r>
    </w:p>
  </w:endnote>
  <w:endnote w:type="continuationSeparator" w:id="0">
    <w:p w14:paraId="2F24D419" w14:textId="77777777" w:rsidR="009A47F0" w:rsidRDefault="009A47F0" w:rsidP="000F2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4E68" w14:textId="77777777" w:rsidR="009A47F0" w:rsidRDefault="009A47F0" w:rsidP="000F27A8">
      <w:pPr>
        <w:spacing w:after="0" w:line="240" w:lineRule="auto"/>
      </w:pPr>
      <w:r>
        <w:separator/>
      </w:r>
    </w:p>
  </w:footnote>
  <w:footnote w:type="continuationSeparator" w:id="0">
    <w:p w14:paraId="43150AD0" w14:textId="77777777" w:rsidR="009A47F0" w:rsidRDefault="009A47F0" w:rsidP="000F27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902596">
    <w:abstractNumId w:val="2"/>
  </w:num>
  <w:num w:numId="2" w16cid:durableId="15176924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79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958139">
    <w:abstractNumId w:val="4"/>
  </w:num>
  <w:num w:numId="5" w16cid:durableId="247429172">
    <w:abstractNumId w:val="0"/>
  </w:num>
  <w:num w:numId="6" w16cid:durableId="1809276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4F"/>
    <w:rsid w:val="000F27A8"/>
    <w:rsid w:val="0014064F"/>
    <w:rsid w:val="00163F1E"/>
    <w:rsid w:val="00241363"/>
    <w:rsid w:val="002518CA"/>
    <w:rsid w:val="002B6429"/>
    <w:rsid w:val="002F28BA"/>
    <w:rsid w:val="003072E1"/>
    <w:rsid w:val="006D0E05"/>
    <w:rsid w:val="007815EE"/>
    <w:rsid w:val="008022ED"/>
    <w:rsid w:val="009A47F0"/>
    <w:rsid w:val="00A44E7D"/>
    <w:rsid w:val="00C92B91"/>
    <w:rsid w:val="00C93765"/>
    <w:rsid w:val="00E347E6"/>
    <w:rsid w:val="00F77036"/>
    <w:rsid w:val="00FD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E3635"/>
  <w15:chartTrackingRefBased/>
  <w15:docId w15:val="{6568B9A8-2F2C-4B56-88B7-8676624F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64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Preambuła,lp1,Bullet list,Styl 1,EST_akapit z listą,Liste CGS,Numerowanie,BulletC,Wyliczanie,Obiekt,normalny tekst,Akapit z listą31,Bullets,List Paragraph1,Wypunktowanie,List Paragraph,maz_wyliczenie,opis dzialania,Punkt. 1"/>
    <w:basedOn w:val="Normalny"/>
    <w:link w:val="AkapitzlistZnak"/>
    <w:uiPriority w:val="34"/>
    <w:qFormat/>
    <w:rsid w:val="0014064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4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6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64F"/>
    <w:rPr>
      <w:sz w:val="20"/>
      <w:szCs w:val="20"/>
    </w:rPr>
  </w:style>
  <w:style w:type="character" w:customStyle="1" w:styleId="AkapitzlistZnak">
    <w:name w:val="Akapit z listą Znak"/>
    <w:aliases w:val="Nagłowek 3 Znak,Preambuła Znak,lp1 Znak,Bullet list Znak,Styl 1 Znak,EST_akapit z listą Znak,Liste CGS Znak,Numerowanie Znak,BulletC Znak,Wyliczanie Znak,Obiekt Znak,normalny tekst Znak,Akapit z listą31 Znak,Bullets Znak"/>
    <w:basedOn w:val="Domylnaczcionkaakapitu"/>
    <w:link w:val="Akapitzlist"/>
    <w:uiPriority w:val="34"/>
    <w:qFormat/>
    <w:locked/>
    <w:rsid w:val="0014064F"/>
  </w:style>
  <w:style w:type="table" w:styleId="Tabela-Siatka">
    <w:name w:val="Table Grid"/>
    <w:basedOn w:val="Standardowy"/>
    <w:uiPriority w:val="59"/>
    <w:rsid w:val="001406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D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3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F1E"/>
  </w:style>
  <w:style w:type="paragraph" w:styleId="Stopka">
    <w:name w:val="footer"/>
    <w:basedOn w:val="Normalny"/>
    <w:link w:val="StopkaZnak"/>
    <w:uiPriority w:val="99"/>
    <w:unhideWhenUsed/>
    <w:rsid w:val="00163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F1E"/>
  </w:style>
  <w:style w:type="paragraph" w:styleId="Poprawka">
    <w:name w:val="Revision"/>
    <w:hidden/>
    <w:uiPriority w:val="99"/>
    <w:semiHidden/>
    <w:rsid w:val="002B64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752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Zwolińska Monika</dc:creator>
  <cp:keywords/>
  <dc:description/>
  <cp:lastModifiedBy>Gorta-Busz Mateusz</cp:lastModifiedBy>
  <cp:revision>11</cp:revision>
  <dcterms:created xsi:type="dcterms:W3CDTF">2022-05-20T13:29:00Z</dcterms:created>
  <dcterms:modified xsi:type="dcterms:W3CDTF">2024-10-30T07:38:00Z</dcterms:modified>
</cp:coreProperties>
</file>